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4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前端可视化：</w:t>
      </w:r>
    </w:p>
    <w:p w14:paraId="3D83EBA9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1)色彩体系：主色调采用政务蓝、政务红，辅助色为灰白，符合政务网站庄重、亲民属性，无娱乐化、夸张化元素。</w:t>
      </w:r>
    </w:p>
    <w:p w14:paraId="4701D584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2)统一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使用宋体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字号根据电脑端、手机端适配显示，根据系统选择，支持字号大小适配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。</w:t>
      </w:r>
    </w:p>
    <w:p w14:paraId="1186F076">
      <w:pP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3）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首页、栏目页、详情页均采用静态HTML生成技术，支持抵御SQL注入、CC攻击。</w:t>
      </w:r>
    </w:p>
    <w:p w14:paraId="575445D2">
      <w:pP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</w:p>
    <w:p w14:paraId="4B680FEF">
      <w:pP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管理后台：</w:t>
      </w:r>
    </w:p>
    <w:p w14:paraId="16DCE34B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全新框架开发与后台UI升级：</w:t>
      </w:r>
    </w:p>
    <w:p w14:paraId="656A18C2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1)框架适配：选用的开发框架需符合国家电子政务相关技术规范。</w:t>
      </w:r>
    </w:p>
    <w:p w14:paraId="021F17A1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2)架构与代码优化：后台架构重构后，系统需支持7×24小时稳定运行，程序故障恢复时间≤10分钟。</w:t>
      </w:r>
    </w:p>
    <w:p w14:paraId="16CAC156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3)可视化编辑器功能：内容编辑页面的可视化编辑器需支持图文排版样式，附件上传需兼容doc、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pdf、jpg等常见格式，且单文件上传大小上限≥200MB。</w:t>
      </w:r>
    </w:p>
    <w:p w14:paraId="47ACB4C8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国产化适配改造：</w:t>
      </w:r>
    </w:p>
    <w:p w14:paraId="7E4321DE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1)硬件适配：基于ARM架构开发，适配现有国产化服务器，无架构不兼容导致的运行错误、卡顿问题。</w:t>
      </w:r>
    </w:p>
    <w:p w14:paraId="65D42E9E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2)数据库适配：支持迁移至国产化数据库（如达梦DM8、人大金仓KingbaseES），完成数据结构适配、全量数据迁移，迁移后数据完整性≥99.99%，支持数据读写、查询、统计等功能正常运行。</w:t>
      </w:r>
    </w:p>
    <w:p w14:paraId="323ADBBC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AI内容审核集成：</w:t>
      </w:r>
    </w:p>
    <w:p w14:paraId="04C48EA6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对后台提交的文章内容进行内容合规检测。包含但不限于如下检测项目：</w:t>
      </w:r>
    </w:p>
    <w:p w14:paraId="1C1B92EA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1)敏感信息检测（涉政、黄、暴等）。</w:t>
      </w:r>
    </w:p>
    <w:p w14:paraId="5D426DE4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2)意识形态问题检测。</w:t>
      </w:r>
    </w:p>
    <w:p w14:paraId="6FD50BF7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3)错别字标点检测。</w:t>
      </w:r>
    </w:p>
    <w:p w14:paraId="2AB99C5D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4)党政类表述检测（中国共产党基本知识的引用审核）。</w:t>
      </w:r>
    </w:p>
    <w:p w14:paraId="67DD4182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5)中央精神的理解和引用审核。</w:t>
      </w:r>
    </w:p>
    <w:p w14:paraId="18BADEC2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6)党和国家重要文献的引用审核。</w:t>
      </w:r>
    </w:p>
    <w:p w14:paraId="540AE998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7)党和国家领导人著作引用审核。</w:t>
      </w:r>
    </w:p>
    <w:p w14:paraId="0606D396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8)马克思主义经典著作的引用审核，领导人姓名、排序审核等。</w:t>
      </w:r>
    </w:p>
    <w:p w14:paraId="4509AE1F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9)涉及我国港澳台领土主权类检测。</w:t>
      </w:r>
    </w:p>
    <w:p w14:paraId="1FE9EAEC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10)法律法规类词检测。</w:t>
      </w:r>
    </w:p>
    <w:p w14:paraId="3025D0DC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11)民族宗教类词检测。</w:t>
      </w:r>
    </w:p>
    <w:p w14:paraId="4498CA38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12)国际关系类词检测。</w:t>
      </w:r>
    </w:p>
    <w:p w14:paraId="157FBDBA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13)政治类词汇检测。</w:t>
      </w:r>
    </w:p>
    <w:p w14:paraId="67BF1743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14)语法性错误检测。</w:t>
      </w:r>
    </w:p>
    <w:p w14:paraId="273F2CC5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15)落马官员、劣迹艺人检测。</w:t>
      </w:r>
    </w:p>
    <w:p w14:paraId="6A810C5B">
      <w:pPr>
        <w:keepNext w:val="0"/>
        <w:keepLines w:val="0"/>
        <w:pageBreakBefore w:val="0"/>
        <w:widowControl w:val="0"/>
        <w:tabs>
          <w:tab w:val="left" w:pos="41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16)广告法违禁词检测。</w:t>
      </w:r>
    </w:p>
    <w:p w14:paraId="70DE09B6">
      <w:pP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17)各行业专业术语检测等。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7FB5"/>
    <w:rsid w:val="2F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2026-01-10T01:47:00Z</dcterms:created>
  <dc:creator>静静</dc:creator>
  <cp:lastModifiedBy>静静</cp:lastModifiedBy>
  <dcterms:modified xsi:type="dcterms:W3CDTF">2026-01-10T09:40:35Z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9C61B174647541B5AB7E5B0DB6A28E5A_11</vt:lpwstr>
  </property>
  <property fmtid="{D5CDD505-2E9C-101B-9397-08002B2CF9AE}" pid="4" name="KSOTemplateDocerSaveRecord">
    <vt:lpwstr>eyJoZGlkIjoiZjVhNGJiMWVmZTg4ZjFhYWZhYWFiMzBkODkwYWRkZmUiLCJ1c2VySWQiOiI0NDY4NDU5MTIifQ==</vt:lpwstr>
  </property>
</Properties>
</file>